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ascii="仿宋_GB2312" w:hAnsi="宋体" w:eastAsia="仿宋_GB2312" w:cs="宋体"/>
          <w:b/>
          <w:bCs/>
          <w:color w:val="000000" w:themeColor="text1"/>
          <w:sz w:val="32"/>
          <w:szCs w:val="32"/>
          <w14:textFill>
            <w14:solidFill>
              <w14:schemeClr w14:val="tx1"/>
            </w14:solidFill>
          </w14:textFill>
        </w:rPr>
      </w:pPr>
      <w:bookmarkStart w:id="0" w:name="_GoBack"/>
      <w:bookmarkEnd w:id="0"/>
      <w:r>
        <w:rPr>
          <w:rFonts w:hint="eastAsia" w:ascii="仿宋_GB2312" w:hAnsi="宋体" w:eastAsia="仿宋_GB2312" w:cs="宋体"/>
          <w:color w:val="000000" w:themeColor="text1"/>
          <w:sz w:val="32"/>
          <w:szCs w:val="32"/>
          <w14:textFill>
            <w14:solidFill>
              <w14:schemeClr w14:val="tx1"/>
            </w14:solidFill>
          </w14:textFill>
        </w:rPr>
        <w:t>附件1</w:t>
      </w:r>
    </w:p>
    <w:p>
      <w:pPr>
        <w:spacing w:line="400" w:lineRule="exact"/>
        <w:jc w:val="center"/>
        <w:rPr>
          <w:rFonts w:ascii="宋体" w:hAnsi="宋体" w:cs="宋体"/>
          <w:b/>
          <w:bCs/>
          <w:color w:val="000000" w:themeColor="text1"/>
          <w:sz w:val="32"/>
          <w14:textFill>
            <w14:solidFill>
              <w14:schemeClr w14:val="tx1"/>
            </w14:solidFill>
          </w14:textFill>
        </w:rPr>
      </w:pPr>
      <w:r>
        <w:rPr>
          <w:rFonts w:hint="eastAsia" w:ascii="宋体" w:hAnsi="宋体" w:cs="宋体"/>
          <w:b/>
          <w:bCs/>
          <w:color w:val="000000" w:themeColor="text1"/>
          <w:sz w:val="32"/>
          <w14:textFill>
            <w14:solidFill>
              <w14:schemeClr w14:val="tx1"/>
            </w14:solidFill>
          </w14:textFill>
        </w:rPr>
        <w:t>萧山区</w:t>
      </w:r>
      <w:r>
        <w:rPr>
          <w:rFonts w:ascii="宋体" w:hAnsi="宋体" w:cs="宋体"/>
          <w:b/>
          <w:bCs/>
          <w:color w:val="000000" w:themeColor="text1"/>
          <w:sz w:val="32"/>
          <w14:textFill>
            <w14:solidFill>
              <w14:schemeClr w14:val="tx1"/>
            </w14:solidFill>
          </w14:textFill>
        </w:rPr>
        <w:t>建筑业</w:t>
      </w:r>
      <w:r>
        <w:rPr>
          <w:rFonts w:hint="eastAsia" w:ascii="宋体" w:hAnsi="宋体" w:cs="宋体"/>
          <w:b/>
          <w:bCs/>
          <w:color w:val="000000" w:themeColor="text1"/>
          <w:sz w:val="32"/>
          <w14:textFill>
            <w14:solidFill>
              <w14:schemeClr w14:val="tx1"/>
            </w14:solidFill>
          </w14:textFill>
        </w:rPr>
        <w:t>高质量</w:t>
      </w:r>
      <w:r>
        <w:rPr>
          <w:rFonts w:ascii="宋体" w:hAnsi="宋体" w:cs="宋体"/>
          <w:b/>
          <w:bCs/>
          <w:color w:val="000000" w:themeColor="text1"/>
          <w:sz w:val="32"/>
          <w14:textFill>
            <w14:solidFill>
              <w14:schemeClr w14:val="tx1"/>
            </w14:solidFill>
          </w14:textFill>
        </w:rPr>
        <w:t>发展奖</w:t>
      </w:r>
      <w:r>
        <w:rPr>
          <w:rFonts w:hint="eastAsia" w:ascii="宋体" w:hAnsi="宋体" w:cs="宋体"/>
          <w:b/>
          <w:bCs/>
          <w:color w:val="000000" w:themeColor="text1"/>
          <w:sz w:val="32"/>
          <w14:textFill>
            <w14:solidFill>
              <w14:schemeClr w14:val="tx1"/>
            </w14:solidFill>
          </w14:textFill>
        </w:rPr>
        <w:t>补</w:t>
      </w:r>
      <w:r>
        <w:rPr>
          <w:rFonts w:ascii="宋体" w:hAnsi="宋体" w:cs="宋体"/>
          <w:b/>
          <w:bCs/>
          <w:color w:val="000000" w:themeColor="text1"/>
          <w:sz w:val="32"/>
          <w14:textFill>
            <w14:solidFill>
              <w14:schemeClr w14:val="tx1"/>
            </w14:solidFill>
          </w14:textFill>
        </w:rPr>
        <w:t>资金申报表</w:t>
      </w:r>
    </w:p>
    <w:p>
      <w:pPr>
        <w:spacing w:line="400" w:lineRule="exact"/>
        <w:jc w:val="center"/>
        <w:rPr>
          <w:rFonts w:ascii="方正小标宋_GBK" w:hAnsi="方正小标宋_GBK" w:eastAsia="方正小标宋_GBK"/>
          <w:color w:val="000000" w:themeColor="text1"/>
          <w:sz w:val="32"/>
          <w14:textFill>
            <w14:solidFill>
              <w14:schemeClr w14:val="tx1"/>
            </w14:solidFill>
          </w14:textFill>
        </w:rPr>
      </w:pPr>
    </w:p>
    <w:p>
      <w:pP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申报单位（盖章）：</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申请日期：</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tbl>
      <w:tblPr>
        <w:tblStyle w:val="7"/>
        <w:tblpPr w:leftFromText="180" w:rightFromText="180" w:vertAnchor="text" w:tblpX="-235" w:tblpY="114"/>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50"/>
        <w:gridCol w:w="1058"/>
        <w:gridCol w:w="764"/>
        <w:gridCol w:w="817"/>
        <w:gridCol w:w="1701"/>
        <w:gridCol w:w="1673"/>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60" w:type="dxa"/>
            <w:gridSpan w:val="8"/>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企业名称</w:t>
            </w:r>
          </w:p>
        </w:tc>
        <w:tc>
          <w:tcPr>
            <w:tcW w:w="2789" w:type="dxa"/>
            <w:gridSpan w:val="4"/>
            <w:vAlign w:val="center"/>
          </w:tcPr>
          <w:p>
            <w:pPr>
              <w:jc w:val="center"/>
              <w:rPr>
                <w:color w:val="000000" w:themeColor="text1"/>
                <w14:textFill>
                  <w14:solidFill>
                    <w14:schemeClr w14:val="tx1"/>
                  </w14:solidFill>
                </w14:textFill>
              </w:rPr>
            </w:pPr>
          </w:p>
        </w:tc>
        <w:tc>
          <w:tcPr>
            <w:tcW w:w="170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办公地址</w:t>
            </w:r>
          </w:p>
        </w:tc>
        <w:tc>
          <w:tcPr>
            <w:tcW w:w="2869" w:type="dxa"/>
            <w:gridSpan w:val="2"/>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法人代表</w:t>
            </w:r>
          </w:p>
        </w:tc>
        <w:tc>
          <w:tcPr>
            <w:tcW w:w="2789" w:type="dxa"/>
            <w:gridSpan w:val="4"/>
            <w:vAlign w:val="center"/>
          </w:tcPr>
          <w:p>
            <w:pPr>
              <w:jc w:val="center"/>
              <w:rPr>
                <w:color w:val="000000" w:themeColor="text1"/>
                <w14:textFill>
                  <w14:solidFill>
                    <w14:schemeClr w14:val="tx1"/>
                  </w14:solidFill>
                </w14:textFill>
              </w:rPr>
            </w:pPr>
          </w:p>
        </w:tc>
        <w:tc>
          <w:tcPr>
            <w:tcW w:w="170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统一社会</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信用代码</w:t>
            </w:r>
          </w:p>
        </w:tc>
        <w:tc>
          <w:tcPr>
            <w:tcW w:w="2869" w:type="dxa"/>
            <w:gridSpan w:val="2"/>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经办联系人</w:t>
            </w:r>
          </w:p>
        </w:tc>
        <w:tc>
          <w:tcPr>
            <w:tcW w:w="2789" w:type="dxa"/>
            <w:gridSpan w:val="4"/>
            <w:vAlign w:val="center"/>
          </w:tcPr>
          <w:p>
            <w:pPr>
              <w:jc w:val="center"/>
              <w:rPr>
                <w:color w:val="000000" w:themeColor="text1"/>
                <w14:textFill>
                  <w14:solidFill>
                    <w14:schemeClr w14:val="tx1"/>
                  </w14:solidFill>
                </w14:textFill>
              </w:rPr>
            </w:pPr>
          </w:p>
        </w:tc>
        <w:tc>
          <w:tcPr>
            <w:tcW w:w="170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p>
        </w:tc>
        <w:tc>
          <w:tcPr>
            <w:tcW w:w="2869" w:type="dxa"/>
            <w:gridSpan w:val="2"/>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8"/>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（二）企业银行账号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9"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开户名</w:t>
            </w:r>
          </w:p>
        </w:tc>
        <w:tc>
          <w:tcPr>
            <w:tcW w:w="6151" w:type="dxa"/>
            <w:gridSpan w:val="5"/>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9"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开户银行</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（具体到支行或营业部）</w:t>
            </w:r>
          </w:p>
        </w:tc>
        <w:tc>
          <w:tcPr>
            <w:tcW w:w="6151" w:type="dxa"/>
            <w:gridSpan w:val="5"/>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9"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开户账号</w:t>
            </w:r>
          </w:p>
        </w:tc>
        <w:tc>
          <w:tcPr>
            <w:tcW w:w="6151" w:type="dxa"/>
            <w:gridSpan w:val="5"/>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8"/>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（三）申请奖补详细情况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1" w:type="dxa"/>
            <w:gridSpan w:val="2"/>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奖补事项</w:t>
            </w:r>
          </w:p>
        </w:tc>
        <w:tc>
          <w:tcPr>
            <w:tcW w:w="1822" w:type="dxa"/>
            <w:gridSpan w:val="2"/>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奖补金额（万元）</w:t>
            </w:r>
          </w:p>
        </w:tc>
        <w:tc>
          <w:tcPr>
            <w:tcW w:w="4191"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证明材料</w:t>
            </w:r>
          </w:p>
        </w:tc>
        <w:tc>
          <w:tcPr>
            <w:tcW w:w="1196"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1" w:type="dxa"/>
            <w:gridSpan w:val="2"/>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例：高星绿建标识</w:t>
            </w:r>
          </w:p>
        </w:tc>
        <w:tc>
          <w:tcPr>
            <w:tcW w:w="1822" w:type="dxa"/>
            <w:gridSpan w:val="2"/>
            <w:vAlign w:val="center"/>
          </w:tcPr>
          <w:p>
            <w:pPr>
              <w:jc w:val="left"/>
              <w:rPr>
                <w:color w:val="000000" w:themeColor="text1"/>
                <w14:textFill>
                  <w14:solidFill>
                    <w14:schemeClr w14:val="tx1"/>
                  </w14:solidFill>
                </w14:textFill>
              </w:rPr>
            </w:pPr>
          </w:p>
        </w:tc>
        <w:tc>
          <w:tcPr>
            <w:tcW w:w="4191" w:type="dxa"/>
            <w:gridSpan w:val="3"/>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1、奖补资金申请承诺书</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2、营业执照</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3、绿色建筑评价标识证书</w:t>
            </w:r>
          </w:p>
        </w:tc>
        <w:tc>
          <w:tcPr>
            <w:tcW w:w="1196"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1" w:type="dxa"/>
            <w:gridSpan w:val="2"/>
            <w:vAlign w:val="center"/>
          </w:tcPr>
          <w:p>
            <w:pPr>
              <w:jc w:val="center"/>
              <w:rPr>
                <w:color w:val="000000" w:themeColor="text1"/>
                <w14:textFill>
                  <w14:solidFill>
                    <w14:schemeClr w14:val="tx1"/>
                  </w14:solidFill>
                </w14:textFill>
              </w:rPr>
            </w:pPr>
          </w:p>
        </w:tc>
        <w:tc>
          <w:tcPr>
            <w:tcW w:w="1822" w:type="dxa"/>
            <w:gridSpan w:val="2"/>
            <w:vAlign w:val="center"/>
          </w:tcPr>
          <w:p>
            <w:pPr>
              <w:jc w:val="center"/>
              <w:rPr>
                <w:color w:val="000000" w:themeColor="text1"/>
                <w14:textFill>
                  <w14:solidFill>
                    <w14:schemeClr w14:val="tx1"/>
                  </w14:solidFill>
                </w14:textFill>
              </w:rPr>
            </w:pPr>
          </w:p>
        </w:tc>
        <w:tc>
          <w:tcPr>
            <w:tcW w:w="4191" w:type="dxa"/>
            <w:gridSpan w:val="3"/>
            <w:vAlign w:val="center"/>
          </w:tcPr>
          <w:p>
            <w:pPr>
              <w:jc w:val="center"/>
              <w:rPr>
                <w:color w:val="000000" w:themeColor="text1"/>
                <w14:textFill>
                  <w14:solidFill>
                    <w14:schemeClr w14:val="tx1"/>
                  </w14:solidFill>
                </w14:textFill>
              </w:rPr>
            </w:pPr>
          </w:p>
        </w:tc>
        <w:tc>
          <w:tcPr>
            <w:tcW w:w="1196"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1" w:type="dxa"/>
            <w:gridSpan w:val="2"/>
            <w:vAlign w:val="center"/>
          </w:tcPr>
          <w:p>
            <w:pPr>
              <w:jc w:val="center"/>
              <w:rPr>
                <w:color w:val="000000" w:themeColor="text1"/>
                <w14:textFill>
                  <w14:solidFill>
                    <w14:schemeClr w14:val="tx1"/>
                  </w14:solidFill>
                </w14:textFill>
              </w:rPr>
            </w:pPr>
          </w:p>
        </w:tc>
        <w:tc>
          <w:tcPr>
            <w:tcW w:w="1822" w:type="dxa"/>
            <w:gridSpan w:val="2"/>
            <w:vAlign w:val="center"/>
          </w:tcPr>
          <w:p>
            <w:pPr>
              <w:jc w:val="center"/>
              <w:rPr>
                <w:color w:val="000000" w:themeColor="text1"/>
                <w14:textFill>
                  <w14:solidFill>
                    <w14:schemeClr w14:val="tx1"/>
                  </w14:solidFill>
                </w14:textFill>
              </w:rPr>
            </w:pPr>
          </w:p>
        </w:tc>
        <w:tc>
          <w:tcPr>
            <w:tcW w:w="4191" w:type="dxa"/>
            <w:gridSpan w:val="3"/>
            <w:vAlign w:val="center"/>
          </w:tcPr>
          <w:p>
            <w:pPr>
              <w:jc w:val="center"/>
              <w:rPr>
                <w:color w:val="000000" w:themeColor="text1"/>
                <w14:textFill>
                  <w14:solidFill>
                    <w14:schemeClr w14:val="tx1"/>
                  </w14:solidFill>
                </w14:textFill>
              </w:rPr>
            </w:pPr>
          </w:p>
        </w:tc>
        <w:tc>
          <w:tcPr>
            <w:tcW w:w="1196"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8"/>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（四）企业申请说明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9060" w:type="dxa"/>
            <w:gridSpan w:val="8"/>
          </w:tcPr>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申请情况：</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符合《关于加快推进萧山建筑业改革创新高质量</w:t>
            </w:r>
            <w:r>
              <w:rPr>
                <w:color w:val="000000" w:themeColor="text1"/>
                <w14:textFill>
                  <w14:solidFill>
                    <w14:schemeClr w14:val="tx1"/>
                  </w14:solidFill>
                </w14:textFill>
              </w:rPr>
              <w:t>发展的实施意见</w:t>
            </w:r>
            <w:r>
              <w:rPr>
                <w:rFonts w:hint="eastAsia"/>
                <w:color w:val="000000" w:themeColor="text1"/>
                <w14:textFill>
                  <w14:solidFill>
                    <w14:schemeClr w14:val="tx1"/>
                  </w14:solidFill>
                </w14:textFill>
              </w:rPr>
              <w:t>》相关奖补标准。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申请奖补金额合计：</w:t>
            </w:r>
            <w:r>
              <w:rPr>
                <w:color w:val="000000" w:themeColor="text1"/>
                <w14:textFill>
                  <w14:solidFill>
                    <w14:schemeClr w14:val="tx1"/>
                  </w14:solidFill>
                </w14:textFill>
              </w:rPr>
              <w:t>_______</w:t>
            </w:r>
            <w:r>
              <w:rPr>
                <w:rFonts w:hint="eastAsia"/>
                <w:color w:val="000000" w:themeColor="text1"/>
                <w14:textFill>
                  <w14:solidFill>
                    <w14:schemeClr w14:val="tx1"/>
                  </w14:solidFill>
                </w14:textFill>
              </w:rPr>
              <w:t>万元。</w:t>
            </w:r>
          </w:p>
          <w:p>
            <w:pPr>
              <w:rPr>
                <w:color w:val="000000" w:themeColor="text1"/>
                <w14:textFill>
                  <w14:solidFill>
                    <w14:schemeClr w14:val="tx1"/>
                  </w14:solidFill>
                </w14:textFill>
              </w:rPr>
            </w:pPr>
          </w:p>
          <w:p>
            <w:pPr>
              <w:pStyle w:val="2"/>
              <w:ind w:firstLine="600"/>
            </w:pPr>
          </w:p>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eastAsia="zh-CN"/>
                <w14:textFill>
                  <w14:solidFill>
                    <w14:schemeClr w14:val="tx1"/>
                  </w14:solidFill>
                </w14:textFill>
              </w:rPr>
              <w:t>法定代表人</w:t>
            </w:r>
            <w:r>
              <w:rPr>
                <w:rFonts w:hint="eastAsia"/>
                <w:color w:val="000000" w:themeColor="text1"/>
                <w14:textFill>
                  <w14:solidFill>
                    <w14:schemeClr w14:val="tx1"/>
                  </w14:solidFill>
                </w14:textFill>
              </w:rPr>
              <w:t>签字         （盖章）</w:t>
            </w:r>
          </w:p>
          <w:p>
            <w:pPr>
              <w:ind w:firstLine="5880" w:firstLineChars="2800"/>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月</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日</w:t>
            </w:r>
          </w:p>
        </w:tc>
      </w:tr>
    </w:tbl>
    <w:p>
      <w:pPr>
        <w:pStyle w:val="2"/>
        <w:ind w:firstLine="0" w:firstLineChars="0"/>
        <w:rPr>
          <w:rFonts w:ascii="宋体" w:hAnsi="宋体" w:cs="宋体"/>
          <w:b/>
          <w:bCs/>
          <w:color w:val="000000" w:themeColor="text1"/>
          <w:sz w:val="32"/>
          <w14:textFill>
            <w14:solidFill>
              <w14:schemeClr w14:val="tx1"/>
            </w14:solidFill>
          </w14:textFill>
        </w:rPr>
        <w:sectPr>
          <w:footerReference r:id="rId3" w:type="default"/>
          <w:pgSz w:w="11906" w:h="16838"/>
          <w:pgMar w:top="1440" w:right="1701" w:bottom="1440" w:left="1701" w:header="851" w:footer="992" w:gutter="0"/>
          <w:cols w:space="425" w:num="1"/>
          <w:docGrid w:type="lines" w:linePitch="312" w:charSpace="0"/>
        </w:sectPr>
      </w:pPr>
    </w:p>
    <w:p>
      <w:pPr>
        <w:pStyle w:val="2"/>
        <w:ind w:firstLine="0" w:firstLineChars="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附件2</w:t>
      </w:r>
    </w:p>
    <w:p>
      <w:pPr>
        <w:pStyle w:val="2"/>
        <w:ind w:firstLine="0" w:firstLineChars="0"/>
        <w:rPr>
          <w:rFonts w:ascii="宋体" w:hAnsi="宋体" w:cs="宋体"/>
          <w:color w:val="000000" w:themeColor="text1"/>
          <w:sz w:val="24"/>
          <w:szCs w:val="24"/>
          <w14:textFill>
            <w14:solidFill>
              <w14:schemeClr w14:val="tx1"/>
            </w14:solidFill>
          </w14:textFill>
        </w:rPr>
      </w:pPr>
    </w:p>
    <w:p>
      <w:pPr>
        <w:pStyle w:val="2"/>
        <w:ind w:firstLine="0" w:firstLineChars="0"/>
        <w:rPr>
          <w:rFonts w:ascii="宋体" w:hAnsi="宋体" w:cs="宋体"/>
          <w:color w:val="000000" w:themeColor="text1"/>
          <w:sz w:val="24"/>
          <w:szCs w:val="24"/>
          <w14:textFill>
            <w14:solidFill>
              <w14:schemeClr w14:val="tx1"/>
            </w14:solidFill>
          </w14:textFill>
        </w:rPr>
      </w:pPr>
    </w:p>
    <w:p>
      <w:pPr>
        <w:spacing w:line="580" w:lineRule="exact"/>
        <w:jc w:val="center"/>
        <w:rPr>
          <w:rFonts w:ascii="黑体" w:hAnsi="黑体" w:eastAsia="黑体" w:cs="宋体"/>
          <w:color w:val="000000" w:themeColor="text1"/>
          <w:sz w:val="44"/>
          <w:szCs w:val="44"/>
          <w:lang w:val="zh-TW"/>
          <w14:textFill>
            <w14:solidFill>
              <w14:schemeClr w14:val="tx1"/>
            </w14:solidFill>
          </w14:textFill>
        </w:rPr>
      </w:pPr>
      <w:r>
        <w:rPr>
          <w:rFonts w:hint="eastAsia" w:ascii="黑体" w:hAnsi="黑体" w:eastAsia="黑体" w:cs="宋体"/>
          <w:color w:val="000000" w:themeColor="text1"/>
          <w:sz w:val="44"/>
          <w:szCs w:val="44"/>
          <w:lang w:val="zh-TW" w:eastAsia="zh-TW"/>
          <w14:textFill>
            <w14:solidFill>
              <w14:schemeClr w14:val="tx1"/>
            </w14:solidFill>
          </w14:textFill>
        </w:rPr>
        <w:t>奖</w:t>
      </w:r>
      <w:r>
        <w:rPr>
          <w:rFonts w:hint="eastAsia" w:ascii="黑体" w:hAnsi="黑体" w:eastAsia="黑体" w:cs="宋体"/>
          <w:color w:val="000000" w:themeColor="text1"/>
          <w:sz w:val="44"/>
          <w:szCs w:val="44"/>
          <w:lang w:val="zh-TW"/>
          <w14:textFill>
            <w14:solidFill>
              <w14:schemeClr w14:val="tx1"/>
            </w14:solidFill>
          </w14:textFill>
        </w:rPr>
        <w:t>补</w:t>
      </w:r>
      <w:r>
        <w:rPr>
          <w:rFonts w:hint="eastAsia" w:ascii="黑体" w:hAnsi="黑体" w:eastAsia="黑体" w:cs="宋体"/>
          <w:color w:val="000000" w:themeColor="text1"/>
          <w:sz w:val="44"/>
          <w:szCs w:val="44"/>
          <w:lang w:val="zh-TW" w:eastAsia="zh-TW"/>
          <w14:textFill>
            <w14:solidFill>
              <w14:schemeClr w14:val="tx1"/>
            </w14:solidFill>
          </w14:textFill>
        </w:rPr>
        <w:t>资金申请承诺</w:t>
      </w:r>
      <w:r>
        <w:rPr>
          <w:rFonts w:hint="eastAsia" w:ascii="黑体" w:hAnsi="黑体" w:eastAsia="黑体" w:cs="宋体"/>
          <w:color w:val="000000" w:themeColor="text1"/>
          <w:sz w:val="44"/>
          <w:szCs w:val="44"/>
          <w:lang w:val="zh-TW"/>
          <w14:textFill>
            <w14:solidFill>
              <w14:schemeClr w14:val="tx1"/>
            </w14:solidFill>
          </w14:textFill>
        </w:rPr>
        <w:t>书</w:t>
      </w:r>
    </w:p>
    <w:p>
      <w:pPr>
        <w:spacing w:line="580" w:lineRule="exact"/>
        <w:jc w:val="center"/>
        <w:rPr>
          <w:rFonts w:ascii="宋体" w:hAnsi="宋体" w:eastAsia="宋体" w:cs="宋体"/>
          <w:color w:val="000000" w:themeColor="text1"/>
          <w:sz w:val="44"/>
          <w:szCs w:val="44"/>
          <w:lang w:val="zh-TW"/>
          <w14:textFill>
            <w14:solidFill>
              <w14:schemeClr w14:val="tx1"/>
            </w14:solidFill>
          </w14:textFill>
        </w:rPr>
      </w:pPr>
    </w:p>
    <w:p>
      <w:pPr>
        <w:topLinePunct/>
        <w:spacing w:line="360" w:lineRule="auto"/>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根据《杭州市萧山区人民政府办公室关于加快推进萧山建筑业改革创新高质量发展的实施意见 》和相关法律法规规定，为配合做好促进建筑业高质量发展有关政策奖补申请工作，我公司郑重承诺：</w:t>
      </w:r>
    </w:p>
    <w:p>
      <w:pPr>
        <w:topLinePunct/>
        <w:spacing w:line="360" w:lineRule="auto"/>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保证所提交的申请文件和资料真实、准确、有效，无任何隐瞒和虚假情况。我公司对其真实性负全部责任，若申报材料中有虚假、伪造等违规情况，我公司愿意退回全部奖补补助并承担一切法律责任。</w:t>
      </w:r>
    </w:p>
    <w:p>
      <w:pPr>
        <w:topLinePunct/>
        <w:spacing w:line="360" w:lineRule="auto"/>
        <w:ind w:firstLine="640" w:firstLineChars="200"/>
        <w:rPr>
          <w:rFonts w:ascii="仿宋_GB2312" w:hAnsi="宋体" w:eastAsia="仿宋_GB2312" w:cs="宋体"/>
          <w:b/>
          <w:bCs/>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我公司承诺获得新入萧建筑企业奖励后</w:t>
      </w:r>
      <w:r>
        <w:rPr>
          <w:rFonts w:hint="eastAsia" w:ascii="仿宋_GB2312" w:hAnsi="宋体" w:eastAsia="仿宋_GB2312" w:cs="宋体"/>
          <w:color w:val="000000" w:themeColor="text1"/>
          <w:sz w:val="32"/>
          <w:szCs w:val="32"/>
          <w:lang w:val="en-US" w:eastAsia="zh-CN"/>
          <w14:textFill>
            <w14:solidFill>
              <w14:schemeClr w14:val="tx1"/>
            </w14:solidFill>
          </w14:textFill>
        </w:rPr>
        <w:t>5年内</w:t>
      </w:r>
      <w:r>
        <w:rPr>
          <w:rFonts w:hint="eastAsia" w:ascii="仿宋_GB2312" w:hAnsi="宋体" w:eastAsia="仿宋_GB2312" w:cs="宋体"/>
          <w:color w:val="000000" w:themeColor="text1"/>
          <w:sz w:val="32"/>
          <w:szCs w:val="32"/>
          <w14:textFill>
            <w14:solidFill>
              <w14:schemeClr w14:val="tx1"/>
            </w14:solidFill>
          </w14:textFill>
        </w:rPr>
        <w:t>不迁出萧山区，若迁出，自愿退回全部奖励，并按相应期限银行存款利率追缴利息。</w:t>
      </w:r>
      <w:r>
        <w:rPr>
          <w:rFonts w:hint="eastAsia" w:ascii="仿宋_GB2312" w:hAnsi="宋体" w:eastAsia="仿宋_GB2312" w:cs="宋体"/>
          <w:b/>
          <w:bCs/>
          <w:color w:val="000000" w:themeColor="text1"/>
          <w:sz w:val="32"/>
          <w:szCs w:val="32"/>
          <w14:textFill>
            <w14:solidFill>
              <w14:schemeClr w14:val="tx1"/>
            </w14:solidFill>
          </w14:textFill>
        </w:rPr>
        <w:t>（此段为申请新入萧建筑企业奖励须承诺事项，未申请上述奖励的企业请删除此段。）</w:t>
      </w:r>
    </w:p>
    <w:p>
      <w:pPr>
        <w:topLinePunct/>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p>
    <w:p>
      <w:pPr>
        <w:topLinePunct/>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特此承诺。</w:t>
      </w:r>
    </w:p>
    <w:p>
      <w:pPr>
        <w:topLinePunct/>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　　　　　　　</w:t>
      </w:r>
    </w:p>
    <w:p>
      <w:pPr>
        <w:topLinePunct/>
        <w:spacing w:line="600" w:lineRule="exact"/>
        <w:ind w:firstLine="640" w:firstLineChars="200"/>
        <w:jc w:val="right"/>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　法定代表人（签章）　　　　　公司名称（盖章）</w:t>
      </w:r>
    </w:p>
    <w:p>
      <w:pPr>
        <w:topLinePunct/>
        <w:spacing w:line="600" w:lineRule="exact"/>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　　　　　　　　　　　　　</w:t>
      </w:r>
    </w:p>
    <w:p>
      <w:pPr>
        <w:topLinePunct/>
        <w:spacing w:line="360" w:lineRule="auto"/>
        <w:ind w:firstLine="640" w:firstLineChars="200"/>
        <w:jc w:val="center"/>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 xml:space="preserve">           　　        年　　月　　日</w:t>
      </w:r>
    </w:p>
    <w:p>
      <w:pPr>
        <w:pStyle w:val="2"/>
        <w:ind w:firstLine="0" w:firstLineChars="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附件3</w:t>
      </w:r>
    </w:p>
    <w:p>
      <w:pPr>
        <w:pStyle w:val="2"/>
        <w:ind w:firstLine="643"/>
        <w:jc w:val="center"/>
        <w:rPr>
          <w:rFonts w:ascii="宋体" w:hAnsi="宋体" w:cs="宋体"/>
          <w:b/>
          <w:bCs/>
          <w:color w:val="000000" w:themeColor="text1"/>
          <w:sz w:val="32"/>
          <w14:textFill>
            <w14:solidFill>
              <w14:schemeClr w14:val="tx1"/>
            </w14:solidFill>
          </w14:textFill>
        </w:rPr>
      </w:pPr>
      <w:r>
        <w:rPr>
          <w:rFonts w:hint="eastAsia" w:ascii="宋体" w:hAnsi="宋体" w:cs="宋体"/>
          <w:b/>
          <w:bCs/>
          <w:color w:val="000000" w:themeColor="text1"/>
          <w:sz w:val="32"/>
          <w14:textFill>
            <w14:solidFill>
              <w14:schemeClr w14:val="tx1"/>
            </w14:solidFill>
          </w14:textFill>
        </w:rPr>
        <w:t>萧山区</w:t>
      </w:r>
      <w:r>
        <w:rPr>
          <w:rFonts w:ascii="宋体" w:hAnsi="宋体" w:cs="宋体"/>
          <w:b/>
          <w:bCs/>
          <w:color w:val="000000" w:themeColor="text1"/>
          <w:sz w:val="32"/>
          <w14:textFill>
            <w14:solidFill>
              <w14:schemeClr w14:val="tx1"/>
            </w14:solidFill>
          </w14:textFill>
        </w:rPr>
        <w:t>建筑业</w:t>
      </w:r>
      <w:r>
        <w:rPr>
          <w:rFonts w:hint="eastAsia" w:ascii="宋体" w:hAnsi="宋体" w:cs="宋体"/>
          <w:b/>
          <w:bCs/>
          <w:color w:val="000000" w:themeColor="text1"/>
          <w:sz w:val="32"/>
          <w14:textFill>
            <w14:solidFill>
              <w14:schemeClr w14:val="tx1"/>
            </w14:solidFill>
          </w14:textFill>
        </w:rPr>
        <w:t>高质量</w:t>
      </w:r>
      <w:r>
        <w:rPr>
          <w:rFonts w:ascii="宋体" w:hAnsi="宋体" w:cs="宋体"/>
          <w:b/>
          <w:bCs/>
          <w:color w:val="000000" w:themeColor="text1"/>
          <w:sz w:val="32"/>
          <w14:textFill>
            <w14:solidFill>
              <w14:schemeClr w14:val="tx1"/>
            </w14:solidFill>
          </w14:textFill>
        </w:rPr>
        <w:t>发展</w:t>
      </w:r>
      <w:r>
        <w:rPr>
          <w:rFonts w:hint="eastAsia" w:ascii="宋体" w:hAnsi="宋体" w:cs="宋体"/>
          <w:b/>
          <w:bCs/>
          <w:color w:val="000000" w:themeColor="text1"/>
          <w:sz w:val="32"/>
          <w14:textFill>
            <w14:solidFill>
              <w14:schemeClr w14:val="tx1"/>
            </w14:solidFill>
          </w14:textFill>
        </w:rPr>
        <w:t>奖补政策清单</w:t>
      </w:r>
    </w:p>
    <w:p>
      <w:pPr>
        <w:pStyle w:val="2"/>
        <w:ind w:firstLine="482"/>
        <w:jc w:val="center"/>
        <w:rPr>
          <w:rFonts w:ascii="宋体" w:hAnsi="宋体" w:cs="宋体"/>
          <w:b/>
          <w:bCs/>
          <w:color w:val="000000" w:themeColor="text1"/>
          <w:sz w:val="24"/>
          <w:szCs w:val="24"/>
          <w14:textFill>
            <w14:solidFill>
              <w14:schemeClr w14:val="tx1"/>
            </w14:solidFill>
          </w14:textFill>
        </w:rPr>
      </w:pPr>
    </w:p>
    <w:tbl>
      <w:tblPr>
        <w:tblStyle w:val="8"/>
        <w:tblW w:w="10279" w:type="dxa"/>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7522"/>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55"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序号</w:t>
            </w:r>
          </w:p>
        </w:tc>
        <w:tc>
          <w:tcPr>
            <w:tcW w:w="7522"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政策内容</w:t>
            </w:r>
          </w:p>
        </w:tc>
        <w:tc>
          <w:tcPr>
            <w:tcW w:w="1902"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奖补事项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55"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w:t>
            </w:r>
          </w:p>
        </w:tc>
        <w:tc>
          <w:tcPr>
            <w:tcW w:w="7522" w:type="dxa"/>
            <w:vAlign w:val="center"/>
          </w:tcPr>
          <w:p>
            <w:pPr>
              <w:pStyle w:val="6"/>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对获得三星级绿色建筑标识的项目，按照30万元/个的标准给予补助，获得二星级绿色建筑标识的项目，按照10万元/个的标准给予补助。</w:t>
            </w:r>
          </w:p>
        </w:tc>
        <w:tc>
          <w:tcPr>
            <w:tcW w:w="1902"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高星绿建标识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55"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522" w:type="dxa"/>
            <w:vAlign w:val="center"/>
          </w:tcPr>
          <w:p>
            <w:pPr>
              <w:pStyle w:val="6"/>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对新成立的新型墙体材料生产企业，经省经信厅授予新型墙体材料产品认定证书的，给予10万元的一次性奖励。</w:t>
            </w:r>
          </w:p>
        </w:tc>
        <w:tc>
          <w:tcPr>
            <w:tcW w:w="1902"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新增墙企墙材产品认定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55"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w:t>
            </w:r>
          </w:p>
        </w:tc>
        <w:tc>
          <w:tcPr>
            <w:tcW w:w="7522" w:type="dxa"/>
            <w:vAlign w:val="center"/>
          </w:tcPr>
          <w:p>
            <w:pPr>
              <w:pStyle w:val="6"/>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对获得省级以上政府部门颁发的科学技术进步奖、建设科学技术奖、建筑垃圾资源化利用行业规范企业荣誉的新墙材认定企业，给予5万元的一次性奖励。</w:t>
            </w:r>
          </w:p>
        </w:tc>
        <w:tc>
          <w:tcPr>
            <w:tcW w:w="1902"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墙企荣誉奖励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855"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w:t>
            </w:r>
          </w:p>
        </w:tc>
        <w:tc>
          <w:tcPr>
            <w:tcW w:w="7522" w:type="dxa"/>
            <w:vAlign w:val="center"/>
          </w:tcPr>
          <w:p>
            <w:pPr>
              <w:pStyle w:val="6"/>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对固定资产投资在3亿元以上的新设整体装配式建筑生产企业或新增投资项目竣工投产后，按企业环比新增区财政贡献，前两年给予全额扶持，第三、四年给予50%的扶持，单个项目累计奖励最高不超过200万元。</w:t>
            </w:r>
          </w:p>
        </w:tc>
        <w:tc>
          <w:tcPr>
            <w:tcW w:w="1902"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装配式企业投产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55"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w:t>
            </w:r>
          </w:p>
        </w:tc>
        <w:tc>
          <w:tcPr>
            <w:tcW w:w="7522" w:type="dxa"/>
            <w:vAlign w:val="center"/>
          </w:tcPr>
          <w:p>
            <w:pPr>
              <w:pStyle w:val="6"/>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对被认定为国家级、省级新型建筑工业化示范基地（企业）的，分别奖励35万元、25万元；被认定为浙江省建筑工业化示范项目的，对建设单位按25万元/个进行奖励。</w:t>
            </w:r>
          </w:p>
        </w:tc>
        <w:tc>
          <w:tcPr>
            <w:tcW w:w="1902"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建筑工业化示范</w:t>
            </w:r>
          </w:p>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855"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6</w:t>
            </w:r>
          </w:p>
        </w:tc>
        <w:tc>
          <w:tcPr>
            <w:tcW w:w="7522" w:type="dxa"/>
            <w:vAlign w:val="center"/>
          </w:tcPr>
          <w:p>
            <w:pPr>
              <w:pStyle w:val="6"/>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按标准实施的一般工业化项目，根据装配式建筑面积给予项目建设单位差别化补助：建筑面积5万平方米（含）以下的补助5万元/个，建筑面积5-10万平方米（含）的补助10万元/个，建筑面积10万平方米以上的补助15万元/个。</w:t>
            </w:r>
          </w:p>
        </w:tc>
        <w:tc>
          <w:tcPr>
            <w:tcW w:w="1902"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新建装配式建筑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55"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7</w:t>
            </w:r>
          </w:p>
        </w:tc>
        <w:tc>
          <w:tcPr>
            <w:tcW w:w="7522" w:type="dxa"/>
            <w:vAlign w:val="center"/>
          </w:tcPr>
          <w:p>
            <w:pPr>
              <w:pStyle w:val="6"/>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对采用钢结构装配式技术进行建造的商品住宅项目，根据钢结构实施建筑面积，给予建设单位100元/平方米补助，此政策补助总金额1200万元/年。</w:t>
            </w:r>
          </w:p>
        </w:tc>
        <w:tc>
          <w:tcPr>
            <w:tcW w:w="1902"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新建钢结构装配式商品住宅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55"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8</w:t>
            </w:r>
          </w:p>
        </w:tc>
        <w:tc>
          <w:tcPr>
            <w:tcW w:w="7522" w:type="dxa"/>
            <w:vAlign w:val="center"/>
          </w:tcPr>
          <w:p>
            <w:pPr>
              <w:pStyle w:val="6"/>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对采用工业化装配式装修技术的住宅项目，根据装修实施建筑面积，给予建设单位10元/平方米补助，单个项目补助最高不超过100万元。</w:t>
            </w:r>
          </w:p>
        </w:tc>
        <w:tc>
          <w:tcPr>
            <w:tcW w:w="1902"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新开工装配式装修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55"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w:t>
            </w:r>
          </w:p>
        </w:tc>
        <w:tc>
          <w:tcPr>
            <w:tcW w:w="7522" w:type="dxa"/>
            <w:vAlign w:val="center"/>
          </w:tcPr>
          <w:p>
            <w:pPr>
              <w:pStyle w:val="6"/>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对获得省级以上工法的，每项给予最高10万元奖励，单个企业不超过20万元。</w:t>
            </w:r>
          </w:p>
        </w:tc>
        <w:tc>
          <w:tcPr>
            <w:tcW w:w="1902"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工法奖励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855"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w:t>
            </w:r>
          </w:p>
        </w:tc>
        <w:tc>
          <w:tcPr>
            <w:tcW w:w="7522" w:type="dxa"/>
            <w:vAlign w:val="center"/>
          </w:tcPr>
          <w:p>
            <w:pPr>
              <w:pStyle w:val="6"/>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施工总承包企业最高资质等级由一级（建筑工程施工总承包甲级）升至特级（施工综合资质甲级）的，给予100万元的一次性奖励，由二级（建筑工程施工总承包乙级）升至一级（建筑工程施工总承包甲级）的，给予30万元的一次性奖励。</w:t>
            </w:r>
          </w:p>
        </w:tc>
        <w:tc>
          <w:tcPr>
            <w:tcW w:w="1902"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资质升级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55"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11</w:t>
            </w:r>
          </w:p>
        </w:tc>
        <w:tc>
          <w:tcPr>
            <w:tcW w:w="7522" w:type="dxa"/>
            <w:vAlign w:val="center"/>
          </w:tcPr>
          <w:p>
            <w:pPr>
              <w:pStyle w:val="6"/>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对整体迁入我区当年完成产值5亿元及以上的一级施工总承包企业，给予50万元的一次性奖励；对特级建筑业企业，给予200万元的一次性奖励。</w:t>
            </w:r>
          </w:p>
        </w:tc>
        <w:tc>
          <w:tcPr>
            <w:tcW w:w="1902"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新入萧企业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atLeast"/>
        </w:trPr>
        <w:tc>
          <w:tcPr>
            <w:tcW w:w="855"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w:t>
            </w:r>
          </w:p>
        </w:tc>
        <w:tc>
          <w:tcPr>
            <w:tcW w:w="7522" w:type="dxa"/>
            <w:vAlign w:val="center"/>
          </w:tcPr>
          <w:p>
            <w:pPr>
              <w:pStyle w:val="6"/>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对当年获得鲁班奖的承建和参建企业，分别给予30万元和10万元的一次性奖励；对当年获得詹天佑奖、华夏奖、梁思成奖、中国钢结构金奖</w:t>
            </w:r>
            <w:r>
              <w:rPr>
                <w:rFonts w:hint="eastAsia" w:ascii="微软雅黑" w:hAnsi="微软雅黑" w:eastAsia="微软雅黑" w:cs="微软雅黑"/>
                <w:color w:val="000000" w:themeColor="text1"/>
                <w:sz w:val="21"/>
                <w:szCs w:val="21"/>
                <w:lang w:eastAsia="zh-CN"/>
                <w14:textFill>
                  <w14:solidFill>
                    <w14:schemeClr w14:val="tx1"/>
                  </w14:solidFill>
                </w14:textFill>
              </w:rPr>
              <w:t>、大禹奖</w:t>
            </w:r>
            <w:r>
              <w:rPr>
                <w:rFonts w:hint="eastAsia" w:ascii="微软雅黑" w:hAnsi="微软雅黑" w:eastAsia="微软雅黑" w:cs="微软雅黑"/>
                <w:color w:val="000000" w:themeColor="text1"/>
                <w:sz w:val="21"/>
                <w:szCs w:val="21"/>
                <w14:textFill>
                  <w14:solidFill>
                    <w14:schemeClr w14:val="tx1"/>
                  </w14:solidFill>
                </w14:textFill>
              </w:rPr>
              <w:t>的承建和参建企业，分别给予20万元和5万元的一次性奖励；对当年获得省级综合性优质工程最高奖（如浙江省“钱江杯”、上海市“白玉兰奖”、湖北省“楚天杯”等）的承建和参建企业，分别给予10万元和3万元的一次性奖励。</w:t>
            </w:r>
          </w:p>
        </w:tc>
        <w:tc>
          <w:tcPr>
            <w:tcW w:w="1902"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创优夺杯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55"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13</w:t>
            </w:r>
          </w:p>
        </w:tc>
        <w:tc>
          <w:tcPr>
            <w:tcW w:w="7522" w:type="dxa"/>
            <w:vAlign w:val="center"/>
          </w:tcPr>
          <w:p>
            <w:pPr>
              <w:pStyle w:val="6"/>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对新获得“浙江省工程总承包试点企业”称号的企业给予20万元的一次性奖励。</w:t>
            </w:r>
          </w:p>
        </w:tc>
        <w:tc>
          <w:tcPr>
            <w:tcW w:w="1902" w:type="dxa"/>
            <w:vAlign w:val="center"/>
          </w:tcPr>
          <w:p>
            <w:pPr>
              <w:pStyle w:val="6"/>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总承包试点</w:t>
            </w:r>
          </w:p>
        </w:tc>
      </w:tr>
    </w:tbl>
    <w:p>
      <w:pPr>
        <w:rPr>
          <w:color w:val="000000" w:themeColor="text1"/>
          <w14:textFill>
            <w14:solidFill>
              <w14:schemeClr w14:val="tx1"/>
            </w14:solidFill>
          </w14:textFill>
        </w:rPr>
      </w:pPr>
    </w:p>
    <w:p>
      <w:pPr>
        <w:topLinePunct/>
        <w:spacing w:line="360" w:lineRule="auto"/>
        <w:rPr>
          <w:rFonts w:ascii="Times New Roman" w:hAnsi="Times New Roman" w:eastAsia="仿宋" w:cs="Times New Roman"/>
          <w:color w:val="000000" w:themeColor="text1"/>
          <w:sz w:val="32"/>
          <w:szCs w:val="32"/>
          <w14:textFill>
            <w14:solidFill>
              <w14:schemeClr w14:val="tx1"/>
            </w14:solidFill>
          </w14:textFill>
        </w:rPr>
      </w:pPr>
    </w:p>
    <w:p>
      <w:pPr>
        <w:pStyle w:val="2"/>
        <w:ind w:firstLine="640"/>
        <w:rPr>
          <w:rFonts w:ascii="Times New Roman" w:hAnsi="Times New Roman" w:eastAsia="仿宋" w:cs="Times New Roman"/>
          <w:color w:val="000000" w:themeColor="text1"/>
          <w:sz w:val="32"/>
          <w:szCs w:val="32"/>
          <w14:textFill>
            <w14:solidFill>
              <w14:schemeClr w14:val="tx1"/>
            </w14:solidFill>
          </w14:textFill>
        </w:rPr>
      </w:pPr>
    </w:p>
    <w:p>
      <w:pPr>
        <w:pStyle w:val="2"/>
        <w:rPr>
          <w:rFonts w:hint="eastAsia" w:ascii="Times New Roman" w:hAnsi="Times New Roman" w:eastAsia="仿宋" w:cs="Times New Roman"/>
          <w:color w:val="000000" w:themeColor="text1"/>
          <w:sz w:val="32"/>
          <w:szCs w:val="32"/>
          <w:lang w:val="en-US" w:eastAsia="zh-CN"/>
          <w14:textFill>
            <w14:solidFill>
              <w14:schemeClr w14:val="tx1"/>
            </w14:solidFill>
          </w14:textFill>
        </w:rPr>
      </w:pPr>
    </w:p>
    <w:p>
      <w:pPr>
        <w:pStyle w:val="2"/>
        <w:ind w:firstLine="0" w:firstLineChars="0"/>
        <w:rPr>
          <w:rFonts w:ascii="仿宋_GB2312" w:hAnsi="宋体" w:eastAsia="仿宋_GB2312" w:cs="宋体"/>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drawing>
          <wp:anchor distT="0" distB="0" distL="114300" distR="114300" simplePos="0" relativeHeight="251659264" behindDoc="1" locked="0" layoutInCell="1" allowOverlap="1">
            <wp:simplePos x="0" y="0"/>
            <wp:positionH relativeFrom="column">
              <wp:posOffset>-498475</wp:posOffset>
            </wp:positionH>
            <wp:positionV relativeFrom="paragraph">
              <wp:posOffset>47625</wp:posOffset>
            </wp:positionV>
            <wp:extent cx="6296025" cy="8922385"/>
            <wp:effectExtent l="0" t="0" r="8255" b="5080"/>
            <wp:wrapNone/>
            <wp:docPr id="11" name="图片 11" descr="企业端操作手册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企业端操作手册_00"/>
                    <pic:cNvPicPr>
                      <a:picLocks noChangeAspect="1"/>
                    </pic:cNvPicPr>
                  </pic:nvPicPr>
                  <pic:blipFill>
                    <a:blip r:embed="rId5"/>
                    <a:stretch>
                      <a:fillRect/>
                    </a:stretch>
                  </pic:blipFill>
                  <pic:spPr>
                    <a:xfrm>
                      <a:off x="0" y="0"/>
                      <a:ext cx="6296025" cy="8922385"/>
                    </a:xfrm>
                    <a:prstGeom prst="rect">
                      <a:avLst/>
                    </a:prstGeom>
                  </pic:spPr>
                </pic:pic>
              </a:graphicData>
            </a:graphic>
          </wp:anchor>
        </w:drawing>
      </w:r>
      <w:r>
        <w:rPr>
          <w:rFonts w:hint="eastAsia" w:ascii="仿宋_GB2312" w:hAnsi="宋体" w:eastAsia="仿宋_GB2312" w:cs="宋体"/>
          <w:color w:val="000000" w:themeColor="text1"/>
          <w:sz w:val="32"/>
          <w:szCs w:val="32"/>
          <w14:textFill>
            <w14:solidFill>
              <w14:schemeClr w14:val="tx1"/>
            </w14:solidFill>
          </w14:textFill>
        </w:rPr>
        <w:t>附件4</w:t>
      </w:r>
    </w:p>
    <w:p>
      <w:pPr>
        <w:spacing w:line="400" w:lineRule="exact"/>
        <w:jc w:val="center"/>
        <w:rPr>
          <w:rFonts w:ascii="宋体" w:hAnsi="宋体" w:cs="宋体"/>
          <w:b/>
          <w:bCs/>
          <w:color w:val="000000" w:themeColor="text1"/>
          <w:sz w:val="32"/>
          <w14:textFill>
            <w14:solidFill>
              <w14:schemeClr w14:val="tx1"/>
            </w14:solidFill>
          </w14:textFill>
        </w:rPr>
      </w:pPr>
      <w:r>
        <w:rPr>
          <w:rFonts w:hint="eastAsia" w:ascii="宋体" w:hAnsi="宋体" w:cs="宋体"/>
          <w:b/>
          <w:bCs/>
          <w:color w:val="000000" w:themeColor="text1"/>
          <w:sz w:val="32"/>
          <w14:textFill>
            <w14:solidFill>
              <w14:schemeClr w14:val="tx1"/>
            </w14:solidFill>
          </w14:textFill>
        </w:rPr>
        <w:t>亲清在线数字平台企业端操作指南</w:t>
      </w:r>
    </w:p>
    <w:p>
      <w:pPr>
        <w:pStyle w:val="2"/>
        <w:ind w:left="0" w:leftChars="0" w:firstLine="0" w:firstLineChars="0"/>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-472440</wp:posOffset>
            </wp:positionH>
            <wp:positionV relativeFrom="paragraph">
              <wp:posOffset>-610870</wp:posOffset>
            </wp:positionV>
            <wp:extent cx="6206490" cy="8783955"/>
            <wp:effectExtent l="0" t="0" r="635" b="3175"/>
            <wp:wrapSquare wrapText="bothSides"/>
            <wp:docPr id="10" name="图片 10" descr="企业端操作手册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企业端操作手册_01"/>
                    <pic:cNvPicPr>
                      <a:picLocks noChangeAspect="1"/>
                    </pic:cNvPicPr>
                  </pic:nvPicPr>
                  <pic:blipFill>
                    <a:blip r:embed="rId6"/>
                    <a:stretch>
                      <a:fillRect/>
                    </a:stretch>
                  </pic:blipFill>
                  <pic:spPr>
                    <a:xfrm>
                      <a:off x="0" y="0"/>
                      <a:ext cx="6206490" cy="8783955"/>
                    </a:xfrm>
                    <a:prstGeom prst="rect">
                      <a:avLst/>
                    </a:prstGeom>
                  </pic:spPr>
                </pic:pic>
              </a:graphicData>
            </a:graphic>
          </wp:anchor>
        </w:drawing>
      </w:r>
    </w:p>
    <w:p>
      <w:pPr>
        <w:pStyle w:val="2"/>
        <w:ind w:left="0" w:leftChars="0" w:firstLine="0" w:firstLineChars="0"/>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drawing>
          <wp:anchor distT="0" distB="0" distL="114300" distR="114300" simplePos="0" relativeHeight="251661312" behindDoc="0" locked="0" layoutInCell="1" allowOverlap="1">
            <wp:simplePos x="0" y="0"/>
            <wp:positionH relativeFrom="column">
              <wp:posOffset>-413385</wp:posOffset>
            </wp:positionH>
            <wp:positionV relativeFrom="paragraph">
              <wp:posOffset>21590</wp:posOffset>
            </wp:positionV>
            <wp:extent cx="6232525" cy="8820150"/>
            <wp:effectExtent l="0" t="0" r="6985" b="10160"/>
            <wp:wrapSquare wrapText="bothSides"/>
            <wp:docPr id="9" name="图片 9" descr="企业端操作手册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企业端操作手册_02"/>
                    <pic:cNvPicPr>
                      <a:picLocks noChangeAspect="1"/>
                    </pic:cNvPicPr>
                  </pic:nvPicPr>
                  <pic:blipFill>
                    <a:blip r:embed="rId7"/>
                    <a:stretch>
                      <a:fillRect/>
                    </a:stretch>
                  </pic:blipFill>
                  <pic:spPr>
                    <a:xfrm>
                      <a:off x="0" y="0"/>
                      <a:ext cx="6232525" cy="8820150"/>
                    </a:xfrm>
                    <a:prstGeom prst="rect">
                      <a:avLst/>
                    </a:prstGeom>
                  </pic:spPr>
                </pic:pic>
              </a:graphicData>
            </a:graphic>
          </wp:anchor>
        </w:drawing>
      </w:r>
    </w:p>
    <w:p>
      <w:pPr>
        <w:pStyle w:val="2"/>
        <w:ind w:left="0" w:leftChars="0" w:firstLine="0" w:firstLineChars="0"/>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drawing>
          <wp:anchor distT="0" distB="0" distL="114300" distR="114300" simplePos="0" relativeHeight="251662336" behindDoc="0" locked="0" layoutInCell="1" allowOverlap="1">
            <wp:simplePos x="0" y="0"/>
            <wp:positionH relativeFrom="column">
              <wp:posOffset>-477520</wp:posOffset>
            </wp:positionH>
            <wp:positionV relativeFrom="paragraph">
              <wp:posOffset>21590</wp:posOffset>
            </wp:positionV>
            <wp:extent cx="6233160" cy="8820150"/>
            <wp:effectExtent l="0" t="0" r="6350" b="10160"/>
            <wp:wrapSquare wrapText="bothSides"/>
            <wp:docPr id="8" name="图片 8" descr="企业端操作手册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企业端操作手册_03"/>
                    <pic:cNvPicPr>
                      <a:picLocks noChangeAspect="1"/>
                    </pic:cNvPicPr>
                  </pic:nvPicPr>
                  <pic:blipFill>
                    <a:blip r:embed="rId8"/>
                    <a:stretch>
                      <a:fillRect/>
                    </a:stretch>
                  </pic:blipFill>
                  <pic:spPr>
                    <a:xfrm>
                      <a:off x="0" y="0"/>
                      <a:ext cx="6233160" cy="8820150"/>
                    </a:xfrm>
                    <a:prstGeom prst="rect">
                      <a:avLst/>
                    </a:prstGeom>
                  </pic:spPr>
                </pic:pic>
              </a:graphicData>
            </a:graphic>
          </wp:anchor>
        </w:drawing>
      </w:r>
    </w:p>
    <w:p>
      <w:pPr>
        <w:pStyle w:val="2"/>
        <w:ind w:left="0" w:leftChars="0" w:firstLine="0" w:firstLineChars="0"/>
        <w:rPr>
          <w:rFonts w:eastAsia="宋体"/>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drawing>
          <wp:anchor distT="0" distB="0" distL="114300" distR="114300" simplePos="0" relativeHeight="251663360" behindDoc="0" locked="0" layoutInCell="1" allowOverlap="1">
            <wp:simplePos x="0" y="0"/>
            <wp:positionH relativeFrom="column">
              <wp:posOffset>-414020</wp:posOffset>
            </wp:positionH>
            <wp:positionV relativeFrom="paragraph">
              <wp:posOffset>111760</wp:posOffset>
            </wp:positionV>
            <wp:extent cx="6385560" cy="9036050"/>
            <wp:effectExtent l="0" t="0" r="5080" b="10160"/>
            <wp:wrapSquare wrapText="bothSides"/>
            <wp:docPr id="7" name="图片 7" descr="企业端操作手册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企业端操作手册_04"/>
                    <pic:cNvPicPr>
                      <a:picLocks noChangeAspect="1"/>
                    </pic:cNvPicPr>
                  </pic:nvPicPr>
                  <pic:blipFill>
                    <a:blip r:embed="rId9"/>
                    <a:stretch>
                      <a:fillRect/>
                    </a:stretch>
                  </pic:blipFill>
                  <pic:spPr>
                    <a:xfrm>
                      <a:off x="0" y="0"/>
                      <a:ext cx="6385560" cy="9036050"/>
                    </a:xfrm>
                    <a:prstGeom prst="rect">
                      <a:avLst/>
                    </a:prstGeom>
                  </pic:spPr>
                </pic:pic>
              </a:graphicData>
            </a:graphic>
          </wp:anchor>
        </w:drawing>
      </w:r>
    </w:p>
    <w:sectPr>
      <w:pgSz w:w="11906" w:h="16838"/>
      <w:pgMar w:top="1440" w:right="1797" w:bottom="1440" w:left="179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N2Q5ZDE0Y2ZmM2I5ZTBkOWIyMWI3YTdjM2Q5NjQifQ=="/>
    <w:docVar w:name="KSO_WPS_MARK_KEY" w:val="aad04c80-9462-49e1-b11b-c8f99606c31b"/>
  </w:docVars>
  <w:rsids>
    <w:rsidRoot w:val="009679AC"/>
    <w:rsid w:val="000B0B3E"/>
    <w:rsid w:val="000F05F8"/>
    <w:rsid w:val="004750B2"/>
    <w:rsid w:val="00607F0C"/>
    <w:rsid w:val="00615441"/>
    <w:rsid w:val="00762117"/>
    <w:rsid w:val="00876FEB"/>
    <w:rsid w:val="009679AC"/>
    <w:rsid w:val="0156177E"/>
    <w:rsid w:val="018620BC"/>
    <w:rsid w:val="01F51FD8"/>
    <w:rsid w:val="023640CD"/>
    <w:rsid w:val="02365500"/>
    <w:rsid w:val="029F0762"/>
    <w:rsid w:val="02B149FA"/>
    <w:rsid w:val="047A106B"/>
    <w:rsid w:val="04EA2680"/>
    <w:rsid w:val="06723038"/>
    <w:rsid w:val="06952EE0"/>
    <w:rsid w:val="077835B4"/>
    <w:rsid w:val="07E26A3F"/>
    <w:rsid w:val="0805611B"/>
    <w:rsid w:val="097C2640"/>
    <w:rsid w:val="0A876F85"/>
    <w:rsid w:val="0AEE75C3"/>
    <w:rsid w:val="0C8C0749"/>
    <w:rsid w:val="0CE340E1"/>
    <w:rsid w:val="0CF20196"/>
    <w:rsid w:val="0D030FBC"/>
    <w:rsid w:val="0D857C63"/>
    <w:rsid w:val="0DB91EE3"/>
    <w:rsid w:val="0DDB760C"/>
    <w:rsid w:val="0FEA0673"/>
    <w:rsid w:val="111A579E"/>
    <w:rsid w:val="11BF5173"/>
    <w:rsid w:val="120E1145"/>
    <w:rsid w:val="12236F67"/>
    <w:rsid w:val="12695089"/>
    <w:rsid w:val="132279D3"/>
    <w:rsid w:val="13EE4789"/>
    <w:rsid w:val="14D0139F"/>
    <w:rsid w:val="151D2762"/>
    <w:rsid w:val="151E0F74"/>
    <w:rsid w:val="15BC6791"/>
    <w:rsid w:val="16783384"/>
    <w:rsid w:val="170030DD"/>
    <w:rsid w:val="17F35B20"/>
    <w:rsid w:val="17F93C28"/>
    <w:rsid w:val="1A2975D8"/>
    <w:rsid w:val="1AC34FDA"/>
    <w:rsid w:val="1B781D3C"/>
    <w:rsid w:val="1C4367C4"/>
    <w:rsid w:val="1DA00715"/>
    <w:rsid w:val="1F8B591B"/>
    <w:rsid w:val="20613B3B"/>
    <w:rsid w:val="20EF7EE1"/>
    <w:rsid w:val="21A02001"/>
    <w:rsid w:val="21FB1218"/>
    <w:rsid w:val="229A609C"/>
    <w:rsid w:val="22E63803"/>
    <w:rsid w:val="257178BC"/>
    <w:rsid w:val="2648423E"/>
    <w:rsid w:val="271F4F80"/>
    <w:rsid w:val="28016F41"/>
    <w:rsid w:val="2858108F"/>
    <w:rsid w:val="28A54D4F"/>
    <w:rsid w:val="2960193F"/>
    <w:rsid w:val="299C5AE8"/>
    <w:rsid w:val="29E4351B"/>
    <w:rsid w:val="2A1262DA"/>
    <w:rsid w:val="2A524A84"/>
    <w:rsid w:val="2AF03EF3"/>
    <w:rsid w:val="2B8A6D4E"/>
    <w:rsid w:val="2CA562D1"/>
    <w:rsid w:val="2E24392D"/>
    <w:rsid w:val="2FBB01BF"/>
    <w:rsid w:val="305016D2"/>
    <w:rsid w:val="30B355AF"/>
    <w:rsid w:val="318D74BA"/>
    <w:rsid w:val="32DA2410"/>
    <w:rsid w:val="33F9159C"/>
    <w:rsid w:val="348C3AFB"/>
    <w:rsid w:val="368031ED"/>
    <w:rsid w:val="376E2E3F"/>
    <w:rsid w:val="37BA109E"/>
    <w:rsid w:val="39A86A7B"/>
    <w:rsid w:val="3A687400"/>
    <w:rsid w:val="3B786573"/>
    <w:rsid w:val="3CCA3DB4"/>
    <w:rsid w:val="3D0530D8"/>
    <w:rsid w:val="3DC97FA0"/>
    <w:rsid w:val="3EB2553E"/>
    <w:rsid w:val="3EED47C8"/>
    <w:rsid w:val="4009486F"/>
    <w:rsid w:val="404458B5"/>
    <w:rsid w:val="41211416"/>
    <w:rsid w:val="437568BD"/>
    <w:rsid w:val="44A92521"/>
    <w:rsid w:val="45073A15"/>
    <w:rsid w:val="455A035B"/>
    <w:rsid w:val="460B0399"/>
    <w:rsid w:val="478C079B"/>
    <w:rsid w:val="48AF1FFB"/>
    <w:rsid w:val="49C84A11"/>
    <w:rsid w:val="4A4C61F3"/>
    <w:rsid w:val="4AE01499"/>
    <w:rsid w:val="4B992976"/>
    <w:rsid w:val="4D402B33"/>
    <w:rsid w:val="4D980FFD"/>
    <w:rsid w:val="4DD21EAA"/>
    <w:rsid w:val="4E5D7E2F"/>
    <w:rsid w:val="50BB64D4"/>
    <w:rsid w:val="511E601F"/>
    <w:rsid w:val="532A10A8"/>
    <w:rsid w:val="537B40C5"/>
    <w:rsid w:val="538C1E8A"/>
    <w:rsid w:val="53AC58FC"/>
    <w:rsid w:val="57CE4C61"/>
    <w:rsid w:val="586E11A0"/>
    <w:rsid w:val="599B1525"/>
    <w:rsid w:val="5A5A6D5E"/>
    <w:rsid w:val="5B3B6561"/>
    <w:rsid w:val="5CA86F6E"/>
    <w:rsid w:val="5CEE7CB5"/>
    <w:rsid w:val="5D5B157C"/>
    <w:rsid w:val="5E8819C0"/>
    <w:rsid w:val="5EBD7F53"/>
    <w:rsid w:val="5F6B5569"/>
    <w:rsid w:val="5FD979F3"/>
    <w:rsid w:val="60880D63"/>
    <w:rsid w:val="62F91AE9"/>
    <w:rsid w:val="64AC6D64"/>
    <w:rsid w:val="655D2785"/>
    <w:rsid w:val="658B0444"/>
    <w:rsid w:val="65AD5108"/>
    <w:rsid w:val="66BC5161"/>
    <w:rsid w:val="67946F0E"/>
    <w:rsid w:val="67B30BE6"/>
    <w:rsid w:val="67DA7F59"/>
    <w:rsid w:val="67F31989"/>
    <w:rsid w:val="68000CCE"/>
    <w:rsid w:val="694B43A2"/>
    <w:rsid w:val="6B121830"/>
    <w:rsid w:val="6B3348DE"/>
    <w:rsid w:val="6D4E1CD9"/>
    <w:rsid w:val="6D6901CE"/>
    <w:rsid w:val="6D82064E"/>
    <w:rsid w:val="6E5813AF"/>
    <w:rsid w:val="6E894952"/>
    <w:rsid w:val="6F084054"/>
    <w:rsid w:val="6F9D45BD"/>
    <w:rsid w:val="713752AB"/>
    <w:rsid w:val="723D4B43"/>
    <w:rsid w:val="73900E2B"/>
    <w:rsid w:val="73B61B97"/>
    <w:rsid w:val="74655CAA"/>
    <w:rsid w:val="746D4CFE"/>
    <w:rsid w:val="74A013B9"/>
    <w:rsid w:val="775B4C8B"/>
    <w:rsid w:val="78C82A69"/>
    <w:rsid w:val="79A851D7"/>
    <w:rsid w:val="79E44A6B"/>
    <w:rsid w:val="7A7D1546"/>
    <w:rsid w:val="7AEC35AA"/>
    <w:rsid w:val="7B52245F"/>
    <w:rsid w:val="7B664809"/>
    <w:rsid w:val="7D840B80"/>
    <w:rsid w:val="7E1F3120"/>
    <w:rsid w:val="7E411CAA"/>
    <w:rsid w:val="7E871BCD"/>
    <w:rsid w:val="7EF905F2"/>
    <w:rsid w:val="7F743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1"/>
    <w:qFormat/>
    <w:uiPriority w:val="0"/>
    <w:pPr>
      <w:ind w:firstLine="600" w:firstLineChars="200"/>
    </w:pPr>
    <w:rPr>
      <w:sz w:val="30"/>
      <w:szCs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Hyperlink"/>
    <w:basedOn w:val="9"/>
    <w:qFormat/>
    <w:uiPriority w:val="0"/>
    <w:rPr>
      <w:color w:val="333333"/>
      <w:u w:val="none"/>
    </w:rPr>
  </w:style>
  <w:style w:type="character" w:customStyle="1" w:styleId="13">
    <w:name w:val="dot"/>
    <w:basedOn w:val="9"/>
    <w:qFormat/>
    <w:uiPriority w:val="0"/>
  </w:style>
  <w:style w:type="character" w:customStyle="1" w:styleId="14">
    <w:name w:val="first-child"/>
    <w:basedOn w:val="9"/>
    <w:qFormat/>
    <w:uiPriority w:val="0"/>
  </w:style>
  <w:style w:type="character" w:customStyle="1" w:styleId="15">
    <w:name w:val="layui-layer-tabnow"/>
    <w:basedOn w:val="9"/>
    <w:qFormat/>
    <w:uiPriority w:val="0"/>
    <w:rPr>
      <w:bdr w:val="single" w:color="CCCCCC" w:sz="6" w:space="0"/>
      <w:shd w:val="clear" w:color="auto" w:fill="FFFFFF"/>
    </w:rPr>
  </w:style>
  <w:style w:type="character" w:customStyle="1" w:styleId="16">
    <w:name w:val="time"/>
    <w:basedOn w:val="9"/>
    <w:qFormat/>
    <w:uiPriority w:val="0"/>
    <w:rPr>
      <w:color w:val="999999"/>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3679</Words>
  <Characters>3820</Characters>
  <Lines>32</Lines>
  <Paragraphs>9</Paragraphs>
  <TotalTime>43</TotalTime>
  <ScaleCrop>false</ScaleCrop>
  <LinksUpToDate>false</LinksUpToDate>
  <CharactersWithSpaces>4068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2022-07-07T01:46:00Z</dcterms:created>
  <dc:creator>chenxy</dc:creator>
  <cp:lastModifiedBy>修</cp:lastModifiedBy>
  <cp:lastPrinted>2024-05-30T02:40:00Z</cp:lastPrinted>
  <dcterms:modified xsi:type="dcterms:W3CDTF">2024-05-31T02:21:52Z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D5D3411B074F45BFA9C1CD53F9E25D3C_13</vt:lpwstr>
  </property>
</Properties>
</file>